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0" w:rsidRPr="002520AB" w:rsidRDefault="00E90CE8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Science</w:t>
      </w:r>
      <w:r w:rsidR="002520AB">
        <w:rPr>
          <w:rFonts w:ascii="Comic Sans MS" w:hAnsi="Comic Sans MS"/>
          <w:b/>
          <w:sz w:val="36"/>
          <w:szCs w:val="36"/>
          <w:u w:val="single"/>
        </w:rPr>
        <w:t xml:space="preserve">- progression </w:t>
      </w:r>
    </w:p>
    <w:p w:rsidR="00444CCD" w:rsidRPr="002520AB" w:rsidRDefault="00331C15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Forces</w:t>
      </w:r>
    </w:p>
    <w:p w:rsidR="00444CCD" w:rsidRDefault="00444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4CCD" w:rsidRPr="003B3050" w:rsidTr="00444CCD">
        <w:tc>
          <w:tcPr>
            <w:tcW w:w="8296" w:type="dxa"/>
          </w:tcPr>
          <w:p w:rsidR="00444CCD" w:rsidRDefault="00444CCD" w:rsidP="00E90CE8">
            <w:pPr>
              <w:rPr>
                <w:rFonts w:ascii="Comic Sans MS" w:hAnsi="Comic Sans MS"/>
              </w:rPr>
            </w:pPr>
            <w:r w:rsidRPr="00341F88">
              <w:rPr>
                <w:rFonts w:ascii="Comic Sans MS" w:hAnsi="Comic Sans MS"/>
              </w:rPr>
              <w:t xml:space="preserve">Reception: </w:t>
            </w:r>
          </w:p>
          <w:p w:rsidR="00E90CE8" w:rsidRPr="00E90CE8" w:rsidRDefault="00E90CE8" w:rsidP="00E90CE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E90CE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Talks about why things happen and how things work.</w:t>
            </w:r>
          </w:p>
          <w:p w:rsidR="00E90CE8" w:rsidRPr="00E90CE8" w:rsidRDefault="00E90CE8" w:rsidP="00E90CE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BF4040">
              <w:rPr>
                <w:rFonts w:ascii="Comic Sans MS" w:hAnsi="Comic Sans MS"/>
                <w:b/>
                <w:i/>
                <w:sz w:val="16"/>
                <w:szCs w:val="16"/>
              </w:rPr>
              <w:t>Practical exploration and discussion of</w:t>
            </w:r>
            <w:r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 basic understanding of forces, including some play and experience based vocabulary e.g. push, pull, move, speed, stop</w:t>
            </w:r>
          </w:p>
        </w:tc>
      </w:tr>
      <w:tr w:rsidR="00444CCD" w:rsidRPr="003B3050" w:rsidTr="00444CCD">
        <w:tc>
          <w:tcPr>
            <w:tcW w:w="8296" w:type="dxa"/>
          </w:tcPr>
          <w:p w:rsidR="00444CCD" w:rsidRPr="003B3050" w:rsidRDefault="00444CCD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Year 1: </w:t>
            </w:r>
            <w:r w:rsidR="00E90CE8">
              <w:rPr>
                <w:rFonts w:ascii="Comic Sans MS" w:hAnsi="Comic Sans MS"/>
              </w:rPr>
              <w:t>N/A</w:t>
            </w:r>
          </w:p>
          <w:p w:rsidR="00EA5FF4" w:rsidRPr="003B3050" w:rsidRDefault="003B3050" w:rsidP="00E90CE8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Recap – </w:t>
            </w:r>
          </w:p>
        </w:tc>
      </w:tr>
      <w:tr w:rsidR="00444CCD" w:rsidRPr="003B3050" w:rsidTr="00303674">
        <w:tc>
          <w:tcPr>
            <w:tcW w:w="8296" w:type="dxa"/>
            <w:shd w:val="clear" w:color="auto" w:fill="FFFFFF" w:themeFill="background1"/>
          </w:tcPr>
          <w:p w:rsidR="00444CCD" w:rsidRPr="003B3050" w:rsidRDefault="00D109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2:</w:t>
            </w:r>
            <w:r w:rsidR="00E90CE8">
              <w:rPr>
                <w:rFonts w:ascii="Comic Sans MS" w:hAnsi="Comic Sans MS"/>
              </w:rPr>
              <w:t xml:space="preserve"> N/A</w:t>
            </w:r>
          </w:p>
          <w:p w:rsidR="00F12ED5" w:rsidRPr="00303674" w:rsidRDefault="00EA5FF4" w:rsidP="00E90CE8">
            <w:pPr>
              <w:shd w:val="clear" w:color="auto" w:fill="F4B083" w:themeFill="accent2" w:themeFillTint="99"/>
              <w:rPr>
                <w:rFonts w:ascii="Comic Sans MS" w:hAnsi="Comic Sans MS"/>
                <w:shd w:val="clear" w:color="auto" w:fill="F4B083" w:themeFill="accent2" w:themeFillTint="99"/>
              </w:rPr>
            </w:pPr>
            <w:r>
              <w:rPr>
                <w:rFonts w:ascii="Comic Sans MS" w:hAnsi="Comic Sans MS"/>
              </w:rPr>
              <w:t xml:space="preserve">Recap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Default="0059732D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 3:</w:t>
            </w:r>
          </w:p>
          <w:p w:rsidR="00FD148E" w:rsidRPr="00FD148E" w:rsidRDefault="00FD148E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FD148E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compare how things move on different surfaces</w:t>
            </w:r>
          </w:p>
          <w:p w:rsidR="00FD148E" w:rsidRPr="000B0693" w:rsidRDefault="00FD148E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0B069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 xml:space="preserve">notice that some forces need contact between 2 objects, but magnetic forces can act at a distance </w:t>
            </w:r>
          </w:p>
          <w:p w:rsidR="00FD148E" w:rsidRPr="000B0693" w:rsidRDefault="00FD148E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0B069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observe how magnets attract or repel each other and attract some materials and not others</w:t>
            </w:r>
          </w:p>
          <w:p w:rsidR="00FD148E" w:rsidRPr="00FD148E" w:rsidRDefault="00FD148E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FD148E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compare and group together a variety of everyday materials on the basis of whether they are attracted to a magnet, and identify some magnetic materials</w:t>
            </w:r>
          </w:p>
          <w:p w:rsidR="00FD148E" w:rsidRPr="00FD148E" w:rsidRDefault="00FD148E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FD148E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describe magnets as having 2 poles</w:t>
            </w:r>
          </w:p>
          <w:p w:rsidR="00FD148E" w:rsidRDefault="00FD148E" w:rsidP="00E90CE8">
            <w:pPr>
              <w:ind w:left="709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FD148E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predict whether 2 magnets will attract or repel each other, depending on which poles are facing</w:t>
            </w:r>
          </w:p>
          <w:p w:rsidR="00262692" w:rsidRDefault="00262692" w:rsidP="00FD148E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</w:p>
          <w:p w:rsidR="000B0693" w:rsidRPr="0017126A" w:rsidRDefault="00262692" w:rsidP="00FD148E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262692" w:rsidRP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 xml:space="preserve">asking relevant questions and using different types of scientific enquiries to answer them </w:t>
            </w:r>
          </w:p>
          <w:p w:rsidR="00262692" w:rsidRP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>setting up simple practical enquiries and fair tests</w:t>
            </w:r>
          </w:p>
          <w:p w:rsidR="00262692" w:rsidRP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>making systematic and careful observations and, where appropriate, taking accurate measurements using standard units, using a range of equipment</w:t>
            </w:r>
          </w:p>
          <w:p w:rsidR="00262692" w:rsidRP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recording findings using simple scientific language, drawings, labelled diagrams, keys, bar charts, and tables </w:t>
            </w:r>
          </w:p>
          <w:p w:rsid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reporting on findings from enquiries, including oral and written explanations, displays or presentations of results and conclusions </w:t>
            </w:r>
          </w:p>
          <w:p w:rsidR="00585329" w:rsidRPr="00585329" w:rsidRDefault="00585329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85329">
              <w:rPr>
                <w:rFonts w:ascii="Comic Sans MS" w:hAnsi="Comic Sans MS"/>
                <w:color w:val="FF0000"/>
                <w:sz w:val="16"/>
                <w:szCs w:val="16"/>
              </w:rPr>
              <w:t>using results to draw simple conclusions</w:t>
            </w:r>
          </w:p>
          <w:p w:rsidR="00262692" w:rsidRPr="00262692" w:rsidRDefault="00262692" w:rsidP="002626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 xml:space="preserve">identifying differences, similarities or changes related to simple scientific ideas and processes </w:t>
            </w:r>
          </w:p>
          <w:p w:rsidR="00262692" w:rsidRPr="00262692" w:rsidRDefault="00262692" w:rsidP="00FD148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262692">
              <w:rPr>
                <w:rFonts w:ascii="Comic Sans MS" w:hAnsi="Comic Sans MS"/>
                <w:color w:val="FF0000"/>
                <w:sz w:val="16"/>
                <w:szCs w:val="16"/>
              </w:rPr>
              <w:t>using straightforward scientific evidence to answer questions or to support their findings</w:t>
            </w:r>
          </w:p>
          <w:p w:rsidR="000B0693" w:rsidRPr="0017126A" w:rsidRDefault="000B0693" w:rsidP="000B0693">
            <w:pPr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  <w:t>Link to Teacher Assessment Framework</w:t>
            </w:r>
          </w:p>
          <w:p w:rsidR="000B0693" w:rsidRPr="000B0693" w:rsidRDefault="000B0693" w:rsidP="00FD148E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0B0693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The pupil can describe the effects of simple forces that involve contact (air and water resistance, friction), and others that act at a distance (magnetic forces, including those between like and unlike magnetic poles; and gravity).</w:t>
            </w:r>
          </w:p>
          <w:p w:rsidR="007E3DF2" w:rsidRPr="00EA5FF4" w:rsidRDefault="0059732D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EA5FF4" w:rsidRPr="00EA5FF4">
              <w:rPr>
                <w:rFonts w:ascii="Comic Sans MS" w:hAnsi="Comic Sans MS"/>
              </w:rPr>
              <w:t xml:space="preserve"> - </w:t>
            </w:r>
          </w:p>
          <w:p w:rsidR="004B7AD0" w:rsidRPr="00F41F81" w:rsidRDefault="007A25A1" w:rsidP="00F41F81">
            <w:pPr>
              <w:rPr>
                <w:rFonts w:ascii="Comic Sans MS" w:hAnsi="Comic Sans MS"/>
              </w:rPr>
            </w:pPr>
            <w:r w:rsidRPr="0017126A">
              <w:rPr>
                <w:rFonts w:ascii="Comic Sans MS" w:hAnsi="Comic Sans MS"/>
                <w:b/>
                <w:sz w:val="16"/>
                <w:szCs w:val="16"/>
              </w:rPr>
              <w:t>Vocabulary:</w:t>
            </w:r>
            <w:r w:rsidRPr="004B7AD0">
              <w:rPr>
                <w:rFonts w:ascii="Comic Sans MS" w:hAnsi="Comic Sans MS"/>
                <w:sz w:val="16"/>
                <w:szCs w:val="16"/>
              </w:rPr>
              <w:t xml:space="preserve"> Magnetic, Force, Contact, Attract, Repel, Friction, Poles, Push, Pull</w:t>
            </w:r>
          </w:p>
          <w:p w:rsidR="004B7AD0" w:rsidRPr="004B7AD0" w:rsidRDefault="00E90CE8" w:rsidP="000D2819">
            <w:pPr>
              <w:rPr>
                <w:rFonts w:ascii="Comic Sans MS" w:hAnsi="Comic Sans MS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</w:t>
            </w:r>
            <w:r w:rsidR="004B7AD0" w:rsidRPr="0017126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cientifically</w:t>
            </w:r>
            <w:r w:rsidRPr="0017126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 xml:space="preserve"> vocabulary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>: questions,  s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 xml:space="preserve">cientific enquiry,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comparative and 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 xml:space="preserve">fair test,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observation, 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 xml:space="preserve">accurate measurements,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equipment – magnets, 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>data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(gather, record)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>, record</w:t>
            </w:r>
            <w:r w:rsidR="000D281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(drawings, labelled diagrams, keys, bar charts, tables)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>,</w:t>
            </w:r>
            <w:r w:rsidR="000D2819">
              <w:rPr>
                <w:rFonts w:ascii="Comic Sans MS" w:hAnsi="Comic Sans MS"/>
                <w:color w:val="FF0000"/>
                <w:sz w:val="16"/>
                <w:szCs w:val="16"/>
              </w:rPr>
              <w:t xml:space="preserve"> oral and written explanation, </w:t>
            </w:r>
            <w:r w:rsidR="004B7AD0" w:rsidRPr="00E90CE8">
              <w:rPr>
                <w:rFonts w:ascii="Comic Sans MS" w:hAnsi="Comic Sans MS"/>
                <w:color w:val="FF0000"/>
                <w:sz w:val="16"/>
                <w:szCs w:val="16"/>
              </w:rPr>
              <w:t>conclusion, prediction</w:t>
            </w:r>
            <w:r w:rsidR="000D2819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</w:t>
            </w:r>
            <w:proofErr w:type="spellStart"/>
            <w:r w:rsidR="000D2819">
              <w:rPr>
                <w:rFonts w:ascii="Comic Sans MS" w:hAnsi="Comic Sans MS"/>
                <w:color w:val="FF0000"/>
                <w:sz w:val="16"/>
                <w:szCs w:val="16"/>
              </w:rPr>
              <w:t>differenecs</w:t>
            </w:r>
            <w:proofErr w:type="spellEnd"/>
            <w:r w:rsidR="000D2819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similarities, changes, evidence, construct, interpret.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Year4:</w:t>
            </w:r>
          </w:p>
          <w:p w:rsidR="00EA5FF4" w:rsidRPr="00EA5FF4" w:rsidRDefault="0059732D" w:rsidP="000D2819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444CCD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5: </w:t>
            </w:r>
          </w:p>
          <w:p w:rsidR="00066219" w:rsidRPr="00066219" w:rsidRDefault="00066219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066219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explain that unsupported objects fall towards the Earth because of the force of gravity acting between the Earth and the falling object</w:t>
            </w:r>
          </w:p>
          <w:p w:rsidR="00066219" w:rsidRPr="00C723D6" w:rsidRDefault="00066219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C723D6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identify the effects of air resistance, water resistance and friction, that act between moving surfaces</w:t>
            </w:r>
          </w:p>
          <w:p w:rsidR="00066219" w:rsidRDefault="00066219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C723D6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 xml:space="preserve">recognise that some mechanisms including levers, pulleys and gears allow a smaller force to </w:t>
            </w:r>
            <w:r w:rsidRPr="00C723D6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lastRenderedPageBreak/>
              <w:t>have a greater effect</w:t>
            </w:r>
          </w:p>
          <w:p w:rsidR="005362DD" w:rsidRDefault="005362DD" w:rsidP="005362DD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</w:p>
          <w:p w:rsidR="005362DD" w:rsidRPr="0017126A" w:rsidRDefault="005362DD" w:rsidP="005362DD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5362DD" w:rsidRPr="005362DD" w:rsidRDefault="005362DD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362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planning different types of scientific enquiries to answer questions, including recognising and controlling variables where necessary </w:t>
            </w:r>
          </w:p>
          <w:p w:rsidR="005362DD" w:rsidRPr="005362DD" w:rsidRDefault="005362DD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362DD">
              <w:rPr>
                <w:rFonts w:ascii="Comic Sans MS" w:hAnsi="Comic Sans MS"/>
                <w:color w:val="FF0000"/>
                <w:sz w:val="16"/>
                <w:szCs w:val="16"/>
              </w:rPr>
              <w:t>taking measurements, using a range of scientific equipment, with increasing accuracy and precision, taking repeat readings when appropriate</w:t>
            </w:r>
          </w:p>
          <w:p w:rsidR="005362DD" w:rsidRPr="005362DD" w:rsidRDefault="005362DD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362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recording data and results of increasing complexity using scientific diagrams and labels, classification keys, tables, scatter graphs, bar and line graphs </w:t>
            </w:r>
          </w:p>
          <w:p w:rsidR="005362DD" w:rsidRPr="005362DD" w:rsidRDefault="005362DD" w:rsidP="005362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5362DD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  <w:p w:rsidR="005362DD" w:rsidRPr="005362DD" w:rsidRDefault="005362DD" w:rsidP="005362DD">
            <w:pPr>
              <w:ind w:left="360"/>
              <w:rPr>
                <w:rFonts w:ascii="Comic Sans MS" w:hAnsi="Comic Sans MS"/>
                <w:sz w:val="16"/>
                <w:szCs w:val="16"/>
              </w:rPr>
            </w:pPr>
          </w:p>
          <w:p w:rsidR="00C723D6" w:rsidRPr="0017126A" w:rsidRDefault="00C723D6" w:rsidP="00C723D6">
            <w:pPr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  <w:t>Link to Teacher Assessment Framework</w:t>
            </w:r>
          </w:p>
          <w:p w:rsidR="00C723D6" w:rsidRDefault="00C723D6" w:rsidP="00C723D6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C723D6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The pupil can describe the effects of simple forces that involve contact (air and water resistance, friction), and others that act at a distance (magnetic forces, including those between like and unlike magnetic poles; and gravity).</w:t>
            </w:r>
          </w:p>
          <w:p w:rsidR="00C723D6" w:rsidRDefault="00C723D6" w:rsidP="00C723D6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C723D6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The pupil can identify simple mechanisms, including levers, gears and pulleys that increase the effect of a force.</w:t>
            </w:r>
          </w:p>
          <w:p w:rsidR="000D2819" w:rsidRPr="00C723D6" w:rsidRDefault="000D2819" w:rsidP="00C723D6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  <w:p w:rsidR="00E57566" w:rsidRPr="000D2819" w:rsidRDefault="007E3DF2" w:rsidP="00EA5FF4">
            <w:pPr>
              <w:shd w:val="clear" w:color="auto" w:fill="F4B083" w:themeFill="accent2" w:themeFillTint="99"/>
              <w:rPr>
                <w:rFonts w:ascii="Comic Sans MS" w:hAnsi="Comic Sans MS"/>
                <w:sz w:val="18"/>
                <w:szCs w:val="18"/>
              </w:rPr>
            </w:pPr>
            <w:r w:rsidRPr="000D2819">
              <w:rPr>
                <w:rFonts w:ascii="Comic Sans MS" w:hAnsi="Comic Sans MS"/>
                <w:sz w:val="18"/>
                <w:szCs w:val="18"/>
              </w:rPr>
              <w:t xml:space="preserve">Recap </w:t>
            </w:r>
            <w:r w:rsidR="00A63E70" w:rsidRPr="000D2819">
              <w:rPr>
                <w:rFonts w:ascii="Comic Sans MS" w:hAnsi="Comic Sans MS"/>
                <w:sz w:val="18"/>
                <w:szCs w:val="18"/>
              </w:rPr>
              <w:t xml:space="preserve">– </w:t>
            </w:r>
          </w:p>
          <w:p w:rsidR="007E3DF2" w:rsidRPr="000D2819" w:rsidRDefault="00E57566" w:rsidP="005362DD">
            <w:pPr>
              <w:pStyle w:val="ListParagraph"/>
              <w:numPr>
                <w:ilvl w:val="0"/>
                <w:numId w:val="6"/>
              </w:numPr>
              <w:shd w:val="clear" w:color="auto" w:fill="F4B083" w:themeFill="accent2" w:themeFillTint="99"/>
              <w:rPr>
                <w:rFonts w:ascii="Comic Sans MS" w:hAnsi="Comic Sans MS"/>
                <w:sz w:val="18"/>
                <w:szCs w:val="18"/>
              </w:rPr>
            </w:pPr>
            <w:r w:rsidRPr="000D2819">
              <w:rPr>
                <w:rFonts w:ascii="Comic Sans MS" w:hAnsi="Comic Sans MS"/>
                <w:sz w:val="18"/>
                <w:szCs w:val="18"/>
              </w:rPr>
              <w:t>Compare how things move on different surfaces</w:t>
            </w:r>
          </w:p>
          <w:p w:rsidR="00E57566" w:rsidRPr="000D2819" w:rsidRDefault="00E57566" w:rsidP="005362DD">
            <w:pPr>
              <w:pStyle w:val="ListParagraph"/>
              <w:numPr>
                <w:ilvl w:val="0"/>
                <w:numId w:val="6"/>
              </w:numPr>
              <w:shd w:val="clear" w:color="auto" w:fill="F4B083" w:themeFill="accent2" w:themeFillTint="99"/>
              <w:rPr>
                <w:rFonts w:ascii="Comic Sans MS" w:hAnsi="Comic Sans MS"/>
                <w:sz w:val="18"/>
                <w:szCs w:val="18"/>
              </w:rPr>
            </w:pPr>
            <w:r w:rsidRPr="000D2819">
              <w:rPr>
                <w:rFonts w:ascii="Comic Sans MS" w:hAnsi="Comic Sans MS"/>
                <w:sz w:val="18"/>
                <w:szCs w:val="18"/>
              </w:rPr>
              <w:t xml:space="preserve">Explore magnets – attract/repel - including materials and poles </w:t>
            </w:r>
          </w:p>
          <w:p w:rsidR="00EA5FF4" w:rsidRDefault="007A25A1" w:rsidP="007A25A1">
            <w:pPr>
              <w:rPr>
                <w:rFonts w:ascii="Comic Sans MS" w:hAnsi="Comic Sans MS"/>
                <w:sz w:val="16"/>
                <w:szCs w:val="16"/>
              </w:rPr>
            </w:pPr>
            <w:r w:rsidRPr="0017126A">
              <w:rPr>
                <w:rFonts w:ascii="Comic Sans MS" w:hAnsi="Comic Sans MS"/>
                <w:b/>
                <w:sz w:val="16"/>
                <w:szCs w:val="16"/>
              </w:rPr>
              <w:t>Vocabulary:</w:t>
            </w:r>
            <w:r w:rsidRPr="00705597">
              <w:rPr>
                <w:rFonts w:ascii="Comic Sans MS" w:hAnsi="Comic Sans MS"/>
                <w:sz w:val="16"/>
                <w:szCs w:val="16"/>
              </w:rPr>
              <w:t xml:space="preserve"> Air resistance, Water resistance, Friction, Gravity, Newton, Gears, Pulleys</w:t>
            </w:r>
          </w:p>
          <w:p w:rsidR="00705597" w:rsidRPr="000D2819" w:rsidRDefault="000D2819" w:rsidP="000D2819">
            <w:pPr>
              <w:rPr>
                <w:rFonts w:ascii="Comic Sans MS" w:hAnsi="Comic Sans MS"/>
                <w:sz w:val="18"/>
                <w:szCs w:val="18"/>
              </w:rPr>
            </w:pPr>
            <w:bookmarkStart w:id="0" w:name="_GoBack"/>
            <w:r w:rsidRPr="0017126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Working s</w:t>
            </w:r>
            <w:r w:rsidR="00705597" w:rsidRPr="0017126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cientifically</w:t>
            </w:r>
            <w:r w:rsidRPr="0017126A">
              <w:rPr>
                <w:rFonts w:ascii="Comic Sans MS" w:hAnsi="Comic Sans MS"/>
                <w:b/>
                <w:color w:val="FF0000"/>
                <w:sz w:val="18"/>
                <w:szCs w:val="18"/>
              </w:rPr>
              <w:t xml:space="preserve"> vocabulary: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bookmarkEnd w:id="0"/>
            <w:r>
              <w:rPr>
                <w:rFonts w:ascii="Comic Sans MS" w:hAnsi="Comic Sans MS"/>
                <w:color w:val="FF0000"/>
                <w:sz w:val="18"/>
                <w:szCs w:val="18"/>
              </w:rPr>
              <w:t>p</w:t>
            </w:r>
            <w:r w:rsidR="00705597" w:rsidRPr="000D2819">
              <w:rPr>
                <w:rFonts w:ascii="Comic Sans MS" w:hAnsi="Comic Sans MS"/>
                <w:color w:val="FF0000"/>
                <w:sz w:val="18"/>
                <w:szCs w:val="18"/>
              </w:rPr>
              <w:t>lan, variables,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measurements,</w:t>
            </w:r>
            <w:r w:rsidR="00705597" w:rsidRPr="000D28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accuracy, record data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(scientific diagrams, labels, classification keys, tables, scatter graphs, bar graph and line graphs)</w:t>
            </w:r>
            <w:r w:rsidR="00705597" w:rsidRPr="000D2819">
              <w:rPr>
                <w:rFonts w:ascii="Comic Sans MS" w:hAnsi="Comic Sans MS"/>
                <w:color w:val="FF0000"/>
                <w:sz w:val="18"/>
                <w:szCs w:val="18"/>
              </w:rPr>
              <w:t xml:space="preserve">, predictions,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further comparative and fair tests, </w:t>
            </w:r>
            <w:r w:rsidR="00705597" w:rsidRPr="000D2819">
              <w:rPr>
                <w:rFonts w:ascii="Comic Sans MS" w:hAnsi="Comic Sans MS"/>
                <w:color w:val="FF0000"/>
                <w:sz w:val="18"/>
                <w:szCs w:val="18"/>
              </w:rPr>
              <w:t>report and present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(conclusions, casual relationships, explanations, degree of trust, oral and written display and presentation)</w:t>
            </w:r>
            <w:r w:rsidR="00705597" w:rsidRPr="000D2819">
              <w:rPr>
                <w:rFonts w:ascii="Comic Sans MS" w:hAnsi="Comic Sans MS"/>
                <w:color w:val="FF0000"/>
                <w:sz w:val="18"/>
                <w:szCs w:val="18"/>
              </w:rPr>
              <w:t>, evidence, systematic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>, identify classify and describe</w:t>
            </w:r>
          </w:p>
        </w:tc>
      </w:tr>
      <w:tr w:rsidR="00444CCD" w:rsidRPr="003B3050" w:rsidTr="00EA5FF4">
        <w:tc>
          <w:tcPr>
            <w:tcW w:w="8296" w:type="dxa"/>
            <w:shd w:val="clear" w:color="auto" w:fill="auto"/>
          </w:tcPr>
          <w:p w:rsidR="00444CCD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lastRenderedPageBreak/>
              <w:t xml:space="preserve">Year 6: </w:t>
            </w:r>
            <w:r w:rsidR="000D2819">
              <w:rPr>
                <w:rFonts w:ascii="Comic Sans MS" w:hAnsi="Comic Sans MS"/>
              </w:rPr>
              <w:t>N/A</w:t>
            </w:r>
          </w:p>
          <w:p w:rsidR="00EA5FF4" w:rsidRPr="003B3050" w:rsidRDefault="00966FA1" w:rsidP="000D2819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Recap –</w:t>
            </w:r>
            <w:r w:rsidRPr="003B3050">
              <w:rPr>
                <w:rFonts w:ascii="Comic Sans MS" w:hAnsi="Comic Sans MS"/>
              </w:rPr>
              <w:t xml:space="preserve"> </w:t>
            </w:r>
          </w:p>
        </w:tc>
      </w:tr>
    </w:tbl>
    <w:p w:rsidR="00444CCD" w:rsidRPr="003B3050" w:rsidRDefault="00444CCD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Default="009A3883">
      <w:pPr>
        <w:rPr>
          <w:rFonts w:ascii="Comic Sans MS" w:hAnsi="Comic Sans MS"/>
        </w:rPr>
      </w:pPr>
    </w:p>
    <w:p w:rsidR="00EA5FF4" w:rsidRPr="003B3050" w:rsidRDefault="00EA5FF4">
      <w:pPr>
        <w:rPr>
          <w:rFonts w:ascii="Comic Sans MS" w:hAnsi="Comic Sans MS"/>
        </w:rPr>
      </w:pPr>
    </w:p>
    <w:sectPr w:rsidR="00EA5FF4" w:rsidRPr="003B3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4BF"/>
    <w:multiLevelType w:val="hybridMultilevel"/>
    <w:tmpl w:val="D6B0BA3C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1D9B6759"/>
    <w:multiLevelType w:val="hybridMultilevel"/>
    <w:tmpl w:val="4050C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F33526"/>
    <w:multiLevelType w:val="hybridMultilevel"/>
    <w:tmpl w:val="840E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B5720"/>
    <w:multiLevelType w:val="hybridMultilevel"/>
    <w:tmpl w:val="7FFC6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85C49"/>
    <w:multiLevelType w:val="hybridMultilevel"/>
    <w:tmpl w:val="2C6C9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74CBF"/>
    <w:multiLevelType w:val="hybridMultilevel"/>
    <w:tmpl w:val="0076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E0C6B"/>
    <w:multiLevelType w:val="hybridMultilevel"/>
    <w:tmpl w:val="1BF4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41A39"/>
    <w:multiLevelType w:val="hybridMultilevel"/>
    <w:tmpl w:val="84C4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D"/>
    <w:rsid w:val="00066219"/>
    <w:rsid w:val="000B0693"/>
    <w:rsid w:val="000D2819"/>
    <w:rsid w:val="001262BB"/>
    <w:rsid w:val="0017126A"/>
    <w:rsid w:val="002470D2"/>
    <w:rsid w:val="002520AB"/>
    <w:rsid w:val="00262692"/>
    <w:rsid w:val="00303674"/>
    <w:rsid w:val="00331C15"/>
    <w:rsid w:val="003355A8"/>
    <w:rsid w:val="00341F88"/>
    <w:rsid w:val="0034536C"/>
    <w:rsid w:val="00396909"/>
    <w:rsid w:val="003B3050"/>
    <w:rsid w:val="00410990"/>
    <w:rsid w:val="00444CCD"/>
    <w:rsid w:val="0046485D"/>
    <w:rsid w:val="004B7AD0"/>
    <w:rsid w:val="004F4C64"/>
    <w:rsid w:val="005362DD"/>
    <w:rsid w:val="00585329"/>
    <w:rsid w:val="0059732D"/>
    <w:rsid w:val="005E3083"/>
    <w:rsid w:val="005F35E0"/>
    <w:rsid w:val="00676BCE"/>
    <w:rsid w:val="0067749C"/>
    <w:rsid w:val="00705597"/>
    <w:rsid w:val="007A25A1"/>
    <w:rsid w:val="007C401B"/>
    <w:rsid w:val="007D7F4D"/>
    <w:rsid w:val="007E3DF2"/>
    <w:rsid w:val="00883F4A"/>
    <w:rsid w:val="00966FA1"/>
    <w:rsid w:val="00967738"/>
    <w:rsid w:val="0099180B"/>
    <w:rsid w:val="009A3883"/>
    <w:rsid w:val="00A46187"/>
    <w:rsid w:val="00A63E70"/>
    <w:rsid w:val="00A81652"/>
    <w:rsid w:val="00AA3607"/>
    <w:rsid w:val="00AD16B3"/>
    <w:rsid w:val="00B36C86"/>
    <w:rsid w:val="00BF0696"/>
    <w:rsid w:val="00C723D6"/>
    <w:rsid w:val="00D10940"/>
    <w:rsid w:val="00D54360"/>
    <w:rsid w:val="00DB6AC0"/>
    <w:rsid w:val="00DE51F0"/>
    <w:rsid w:val="00DF36E0"/>
    <w:rsid w:val="00E14359"/>
    <w:rsid w:val="00E30445"/>
    <w:rsid w:val="00E54787"/>
    <w:rsid w:val="00E57566"/>
    <w:rsid w:val="00E821E9"/>
    <w:rsid w:val="00E90CE8"/>
    <w:rsid w:val="00EA5FF4"/>
    <w:rsid w:val="00EC432E"/>
    <w:rsid w:val="00F12ED5"/>
    <w:rsid w:val="00F41F81"/>
    <w:rsid w:val="00FA4C2B"/>
    <w:rsid w:val="00F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1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2A04-CA7F-4B67-A7FD-2B3EBA38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Brooklyn.Armstrong</dc:creator>
  <cp:keywords/>
  <dc:description/>
  <cp:lastModifiedBy>Mike</cp:lastModifiedBy>
  <cp:revision>22</cp:revision>
  <dcterms:created xsi:type="dcterms:W3CDTF">2018-12-19T09:27:00Z</dcterms:created>
  <dcterms:modified xsi:type="dcterms:W3CDTF">2019-03-02T21:07:00Z</dcterms:modified>
</cp:coreProperties>
</file>